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3686"/>
        <w:gridCol w:w="5386"/>
      </w:tblGrid>
      <w:tr w:rsidR="00BA6C87" w:rsidRPr="00BA6C87" w:rsidTr="0099657D">
        <w:tc>
          <w:tcPr>
            <w:tcW w:w="1276" w:type="dxa"/>
          </w:tcPr>
          <w:p w:rsidR="00BA6C87" w:rsidRPr="00BA6C87" w:rsidRDefault="009F66DE" w:rsidP="0033061C">
            <w:pPr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3686" w:type="dxa"/>
          </w:tcPr>
          <w:p w:rsidR="00BA6C87" w:rsidRPr="00BA6C87" w:rsidRDefault="009F66DE" w:rsidP="0007282D">
            <w:pPr>
              <w:ind w:right="176" w:firstLine="45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Вопрос</w:t>
            </w:r>
          </w:p>
        </w:tc>
        <w:tc>
          <w:tcPr>
            <w:tcW w:w="5386" w:type="dxa"/>
          </w:tcPr>
          <w:p w:rsidR="00BA6C87" w:rsidRPr="00227CB7" w:rsidRDefault="009F66DE" w:rsidP="00DD68F6">
            <w:pPr>
              <w:pStyle w:val="ConsPlusNormal"/>
              <w:widowControl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Ответ</w:t>
            </w:r>
          </w:p>
        </w:tc>
      </w:tr>
      <w:tr w:rsidR="009F66DE" w:rsidRPr="00BA6C87" w:rsidTr="0099657D">
        <w:tc>
          <w:tcPr>
            <w:tcW w:w="1276" w:type="dxa"/>
          </w:tcPr>
          <w:p w:rsidR="009F66DE" w:rsidRPr="006C13C8" w:rsidRDefault="006C13C8" w:rsidP="0033061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3686" w:type="dxa"/>
          </w:tcPr>
          <w:p w:rsidR="008E5D32" w:rsidRPr="008E5D32" w:rsidRDefault="008E5D32" w:rsidP="008E5D32">
            <w:pPr>
              <w:ind w:right="176" w:firstLine="459"/>
              <w:jc w:val="both"/>
              <w:rPr>
                <w:rFonts w:cs="Times New Roman"/>
              </w:rPr>
            </w:pPr>
            <w:r w:rsidRPr="008E5D32">
              <w:rPr>
                <w:rFonts w:cs="Times New Roman"/>
              </w:rPr>
              <w:t>Если техническим регламентом не установлена иная форма оценки соответствия технического устройства, применяемого на опасном производственном' объекте, обязательным требованиям к такому техническому устройству, оно подлежит экспертизе промышленной безопасности:</w:t>
            </w:r>
          </w:p>
          <w:p w:rsidR="008E5D32" w:rsidRPr="008E5D32" w:rsidRDefault="008E5D32" w:rsidP="008E5D32">
            <w:pPr>
              <w:ind w:right="176" w:firstLine="459"/>
              <w:jc w:val="both"/>
              <w:rPr>
                <w:rFonts w:cs="Times New Roman"/>
              </w:rPr>
            </w:pPr>
            <w:r w:rsidRPr="008E5D32">
              <w:rPr>
                <w:rFonts w:cs="Times New Roman"/>
              </w:rPr>
              <w:t>- до начала применения на опасном производственном объекте</w:t>
            </w:r>
          </w:p>
          <w:p w:rsidR="008E5D32" w:rsidRPr="008E5D32" w:rsidRDefault="008E5D32" w:rsidP="008E5D32">
            <w:pPr>
              <w:ind w:right="176" w:firstLine="459"/>
              <w:jc w:val="both"/>
              <w:rPr>
                <w:rFonts w:cs="Times New Roman"/>
              </w:rPr>
            </w:pPr>
            <w:r w:rsidRPr="008E5D32">
              <w:rPr>
                <w:rFonts w:cs="Times New Roman"/>
              </w:rPr>
              <w:t>- по истечении срока службы или при превышении количества циклов нагрузки |</w:t>
            </w:r>
          </w:p>
          <w:p w:rsidR="008E5D32" w:rsidRPr="008E5D32" w:rsidRDefault="008E5D32" w:rsidP="008E5D32">
            <w:pPr>
              <w:ind w:right="176" w:firstLine="459"/>
              <w:jc w:val="both"/>
              <w:rPr>
                <w:rFonts w:cs="Times New Roman"/>
              </w:rPr>
            </w:pPr>
            <w:r w:rsidRPr="008E5D32">
              <w:rPr>
                <w:rFonts w:cs="Times New Roman"/>
              </w:rPr>
              <w:t>такого технического устройства, установленных его производителем;</w:t>
            </w:r>
          </w:p>
          <w:p w:rsidR="008E5D32" w:rsidRPr="008E5D32" w:rsidRDefault="008E5D32" w:rsidP="008E5D32">
            <w:pPr>
              <w:ind w:right="176" w:firstLine="459"/>
              <w:jc w:val="both"/>
              <w:rPr>
                <w:rFonts w:cs="Times New Roman"/>
              </w:rPr>
            </w:pPr>
            <w:r w:rsidRPr="008E5D32">
              <w:rPr>
                <w:rFonts w:cs="Times New Roman"/>
              </w:rPr>
              <w:t xml:space="preserve">- при отсутствии в технической документации данных о сроке службы технического устройства, если фактический срок его службы превышает 20 лет; </w:t>
            </w:r>
          </w:p>
          <w:p w:rsidR="008E5D32" w:rsidRPr="008E5D32" w:rsidRDefault="008E5D32" w:rsidP="008E5D32">
            <w:pPr>
              <w:ind w:right="176" w:firstLine="459"/>
              <w:jc w:val="both"/>
              <w:rPr>
                <w:rFonts w:cs="Times New Roman"/>
              </w:rPr>
            </w:pPr>
            <w:r w:rsidRPr="008E5D32">
              <w:rPr>
                <w:rFonts w:cs="Times New Roman"/>
              </w:rPr>
              <w:t>- после проведения работ, связанных с изменением конструкции, заменой материала несущих элементов такого технического устройства, либо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устройство.</w:t>
            </w:r>
          </w:p>
          <w:p w:rsidR="008E5D32" w:rsidRPr="008E5D32" w:rsidRDefault="008E5D32" w:rsidP="008E5D32">
            <w:pPr>
              <w:ind w:right="176" w:firstLine="459"/>
              <w:jc w:val="both"/>
              <w:rPr>
                <w:rFonts w:cs="Times New Roman"/>
              </w:rPr>
            </w:pPr>
            <w:r w:rsidRPr="008E5D32">
              <w:rPr>
                <w:rFonts w:cs="Times New Roman"/>
              </w:rPr>
              <w:t>Прошу Вас дать разъяснение, следует ли случаи, когда в технической документации на техническое устройство предельный срок службы не установлен или установлен не конкретно (например, «не менее 8 лет», «ресурс изделия до первого ремонта 8 лет», «средний срок службы 8 лет»), считать «отсутствием в технической документации данных о сроке службы такого технического устройства» и принимать в качестве предельного срока службы - 20 лет.</w:t>
            </w:r>
          </w:p>
          <w:p w:rsidR="009F66DE" w:rsidRPr="00BA6C87" w:rsidRDefault="008E5D32" w:rsidP="008E5D32">
            <w:pPr>
              <w:ind w:right="176" w:firstLine="459"/>
              <w:jc w:val="both"/>
              <w:rPr>
                <w:rFonts w:cs="Times New Roman"/>
              </w:rPr>
            </w:pPr>
            <w:r w:rsidRPr="008E5D32">
              <w:rPr>
                <w:rFonts w:cs="Times New Roman"/>
              </w:rPr>
              <w:lastRenderedPageBreak/>
              <w:t>Кроме того, прошу разъяснить, применимо ли требование пункта 2 статьи 7 116-ФЗ к средствам измерений утвержденного типа с истекшими сроками службы в случаях, когда данные средства измерений при периодической поверке в установленном порядке подтверждают установленные для них характеристики и допускается ли в случае положительных результатов поверки продолжать эксплуатацию такого средства измерений.</w:t>
            </w:r>
          </w:p>
        </w:tc>
        <w:tc>
          <w:tcPr>
            <w:tcW w:w="5386" w:type="dxa"/>
          </w:tcPr>
          <w:p w:rsidR="008E5D32" w:rsidRPr="008E5D32" w:rsidRDefault="008E5D32" w:rsidP="008E5D32">
            <w:pPr>
              <w:pStyle w:val="ConsPlusNormal"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В соответствии с частью 2 статьи 7 Федерального закона от 21.07.1997 № 116-ФЗ «О промышленной безопасности опасных производственных объектов» (далее - Федеральный закон № 116-ФЗ), техническое устройство подлежит экспертизе промышленной безопасности по истечении срока службы или при превышении количества циклов нагрузки такого технического устройства, установленных его производителем.</w:t>
            </w:r>
          </w:p>
          <w:p w:rsidR="008E5D32" w:rsidRPr="008E5D32" w:rsidRDefault="008E5D32" w:rsidP="008E5D32">
            <w:pPr>
              <w:pStyle w:val="ConsPlusNormal"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Согласно статье 1 Федерального закона № 116-ФЗ, к техническим устройствам, применяемым на опасном производственном объекте, относятся машины, технологическое оборудование, системы машин и (или) оборудования, агрегаты, аппаратура, механизмы, применяемые при эксплуатации опасного производственного объекта.</w:t>
            </w:r>
          </w:p>
          <w:p w:rsidR="008E5D32" w:rsidRPr="008E5D32" w:rsidRDefault="008E5D32" w:rsidP="008E5D32">
            <w:pPr>
              <w:pStyle w:val="ConsPlusNormal"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Исходя из вышеизложенного, средства измерений, системы контроля, управления и противоаварийной защиты, связи и оповещения не являются техническими устройствами. Проведение экспертизы промышленной безопасности для средств измерений, систем контроля, управления и противоаварийной защиты, связи и оповещения не предусмотрено.</w:t>
            </w:r>
          </w:p>
          <w:p w:rsidR="008E5D32" w:rsidRPr="008E5D32" w:rsidRDefault="008E5D32" w:rsidP="008E5D32">
            <w:pPr>
              <w:pStyle w:val="ConsPlusNormal"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Согласно пункту 6.6.2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утверждённых приказом Ростехнадзора от 11.03.2013 №96, средства измерения, входящие в систему контроля, управления и противоаварийной защиты, и информационно-измерительные системы должны иметь документационное подтверждение об утверждении типа средств измерений и документы о прохождении поверки.</w:t>
            </w:r>
          </w:p>
          <w:p w:rsidR="008E5D32" w:rsidRPr="008E5D32" w:rsidRDefault="008E5D32" w:rsidP="008E5D32">
            <w:pPr>
              <w:pStyle w:val="ConsPlusNormal"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Согласно пункту 17 статьи 2 Федерального закона от 26.06.2008 №102-ФЗ «Об обеспечении единства измерений</w:t>
            </w:r>
            <w:proofErr w:type="gramStart"/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»</w:t>
            </w:r>
            <w:proofErr w:type="gramEnd"/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 (далее - Федеральный закон №102-ФЗ), поверка средств измерений - это совокупность операций, выполняемых в целях подтверждения соответствия средства измерений метрологическим требованиям.</w:t>
            </w:r>
          </w:p>
          <w:p w:rsidR="008E5D32" w:rsidRPr="008E5D32" w:rsidRDefault="008E5D32" w:rsidP="008E5D32">
            <w:pPr>
              <w:pStyle w:val="ConsPlusNormal"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Таким образом, результаты поверки средств измерений, входящих в состав систем контроля, управления и противоаварийной защиты, связи и оповещения, не могут служить основанием для продления их срока службы.</w:t>
            </w:r>
          </w:p>
          <w:p w:rsidR="009F66DE" w:rsidRPr="00227CB7" w:rsidRDefault="008E5D32" w:rsidP="008E5D32">
            <w:pPr>
              <w:pStyle w:val="ConsPlusNormal"/>
              <w:widowControl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В связи с тем, что в Вашем обращении отсутствует информация, с приложением копий документов, о конкретном техническом устройстве срок службы которого неизвестен, Управление рекомендует Вам </w:t>
            </w:r>
            <w:r w:rsidRPr="008E5D32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обратиться по данному вопросу к изготовителю данного технического устройства.</w:t>
            </w:r>
          </w:p>
        </w:tc>
      </w:tr>
      <w:tr w:rsidR="0033061C" w:rsidRPr="00BA6C87" w:rsidTr="0099657D">
        <w:tc>
          <w:tcPr>
            <w:tcW w:w="1276" w:type="dxa"/>
          </w:tcPr>
          <w:p w:rsidR="0033061C" w:rsidRPr="006C13C8" w:rsidRDefault="006C13C8" w:rsidP="00BA6C87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2</w:t>
            </w:r>
          </w:p>
        </w:tc>
        <w:tc>
          <w:tcPr>
            <w:tcW w:w="3686" w:type="dxa"/>
          </w:tcPr>
          <w:p w:rsidR="0033061C" w:rsidRPr="00BA6C87" w:rsidRDefault="008E5D32" w:rsidP="000245E3">
            <w:pPr>
              <w:ind w:right="176" w:firstLine="459"/>
              <w:jc w:val="both"/>
              <w:rPr>
                <w:rFonts w:cs="Times New Roman"/>
              </w:rPr>
            </w:pPr>
            <w:r w:rsidRPr="008E5D32">
              <w:rPr>
                <w:rFonts w:cs="Times New Roman"/>
              </w:rPr>
              <w:t>Прошу Вас провести проверку по вопросу трансформаторной подстанции находящейся в границе земельного участка жилого дома</w:t>
            </w:r>
          </w:p>
        </w:tc>
        <w:tc>
          <w:tcPr>
            <w:tcW w:w="5386" w:type="dxa"/>
          </w:tcPr>
          <w:p w:rsidR="008E5D32" w:rsidRPr="008E5D32" w:rsidRDefault="008E5D32" w:rsidP="008E5D32">
            <w:pPr>
              <w:pStyle w:val="Bodytext20"/>
              <w:tabs>
                <w:tab w:val="left" w:pos="4930"/>
              </w:tabs>
              <w:spacing w:line="240" w:lineRule="auto"/>
              <w:ind w:firstLine="780"/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</w:pPr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 xml:space="preserve">Согласно пунктам </w:t>
            </w:r>
            <w:proofErr w:type="gramStart"/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>4.2.131.,</w:t>
            </w:r>
            <w:proofErr w:type="gramEnd"/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 xml:space="preserve"> 2.5.217. «Правил устройства электроустановок», утверждённых приказом Министерства энергетики Российской Федерации от 08.07.2002 № 204, подстанции должны быть расположены на расстоянии не менее 3 метров от зданий I, II, III степеней огнестойкости и 5 метров от зданий IV и V степеней огнестойкости. Для воздушных линий, проходящих по населенной местности допускается принимать расстояние по горизонтали от крайних проводов воздушной линии при наибольшем их отклонении до границ приусадебных земельных участков индивидуальных домов и коллективных садовых участков на расстоянии не менее 2 метров.</w:t>
            </w:r>
          </w:p>
          <w:p w:rsidR="008E5D32" w:rsidRPr="008E5D32" w:rsidRDefault="008E5D32" w:rsidP="008E5D32">
            <w:pPr>
              <w:pStyle w:val="Bodytext20"/>
              <w:tabs>
                <w:tab w:val="left" w:pos="4930"/>
              </w:tabs>
              <w:spacing w:line="240" w:lineRule="auto"/>
              <w:ind w:firstLine="780"/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</w:pPr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>В соответствии с постановлением Правительства Российской Федерации от       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основанием для проведения внеплановой проверки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прокуратуры.</w:t>
            </w:r>
          </w:p>
          <w:p w:rsidR="008E5D32" w:rsidRPr="008E5D32" w:rsidRDefault="008E5D32" w:rsidP="008E5D32">
            <w:pPr>
              <w:pStyle w:val="Bodytext20"/>
              <w:tabs>
                <w:tab w:val="left" w:pos="4930"/>
              </w:tabs>
              <w:spacing w:line="240" w:lineRule="auto"/>
              <w:ind w:firstLine="780"/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</w:pPr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>В целях всестороннего и объективного рассмотрения обращения, руководствуясь часть 2 статьи 9 Федерального закона от 2 мая 2006 г. № 59-ФЗ «О порядке рассмотрения обращений граждан Российской Федерации» обращение было рассмотрено с выездом на место должностного лица Управления.</w:t>
            </w:r>
          </w:p>
          <w:p w:rsidR="008E5D32" w:rsidRPr="008E5D32" w:rsidRDefault="008E5D32" w:rsidP="008E5D32">
            <w:pPr>
              <w:pStyle w:val="Bodytext20"/>
              <w:tabs>
                <w:tab w:val="left" w:pos="4930"/>
              </w:tabs>
              <w:spacing w:line="240" w:lineRule="auto"/>
              <w:ind w:firstLine="780"/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</w:pPr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 xml:space="preserve">По результатам рассмотрения обращения нарушения действующего законодательства не выявлены. </w:t>
            </w:r>
          </w:p>
          <w:p w:rsidR="0033061C" w:rsidRPr="007C7A77" w:rsidRDefault="008E5D32" w:rsidP="008E5D32">
            <w:pPr>
              <w:pStyle w:val="ConsPlusNormal"/>
              <w:widowControl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  <w:lang w:val="ru"/>
              </w:rPr>
            </w:pPr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bidi="ru-RU"/>
              </w:rPr>
              <w:lastRenderedPageBreak/>
              <w:t xml:space="preserve">Дополнительно сообщаем, что по результатам внеплановой выездной проверки выполнения ранее выданного предписания Управления от 30.12.2013 № 57/6145-П в отношении ООО «ЮТЭК-Региональные сети» установлено своевременное устранение ранее </w:t>
            </w:r>
            <w:proofErr w:type="spellStart"/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bidi="ru-RU"/>
              </w:rPr>
              <w:t>выявленых</w:t>
            </w:r>
            <w:proofErr w:type="spellEnd"/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bidi="ru-RU"/>
              </w:rPr>
              <w:t xml:space="preserve"> нарушений, что </w:t>
            </w:r>
            <w:proofErr w:type="spellStart"/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bidi="ru-RU"/>
              </w:rPr>
              <w:t>подверждается</w:t>
            </w:r>
            <w:proofErr w:type="spellEnd"/>
            <w:r w:rsidRPr="008E5D32">
              <w:rPr>
                <w:rFonts w:asciiTheme="minorHAnsi" w:hAnsiTheme="minorHAnsi"/>
                <w:color w:val="000000"/>
                <w:sz w:val="22"/>
                <w:szCs w:val="22"/>
                <w:lang w:bidi="ru-RU"/>
              </w:rPr>
              <w:t xml:space="preserve"> актом проверки Управления от 13.10.2014 № 58/7254-А.</w:t>
            </w:r>
          </w:p>
        </w:tc>
      </w:tr>
      <w:tr w:rsidR="0033061C" w:rsidRPr="00BA6C87" w:rsidTr="0099657D">
        <w:tc>
          <w:tcPr>
            <w:tcW w:w="1276" w:type="dxa"/>
          </w:tcPr>
          <w:p w:rsidR="0033061C" w:rsidRPr="006C13C8" w:rsidRDefault="006C13C8" w:rsidP="00BA6C87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3061C" w:rsidRPr="00BA6C87" w:rsidRDefault="008E5D32" w:rsidP="00B26BF1">
            <w:pPr>
              <w:ind w:right="176" w:firstLine="459"/>
              <w:jc w:val="both"/>
              <w:rPr>
                <w:rFonts w:cs="Times New Roman"/>
              </w:rPr>
            </w:pPr>
            <w:r w:rsidRPr="008E5D32">
              <w:rPr>
                <w:rFonts w:cs="Times New Roman"/>
              </w:rPr>
              <w:t>Прошу пр</w:t>
            </w:r>
            <w:r>
              <w:rPr>
                <w:rFonts w:cs="Times New Roman"/>
              </w:rPr>
              <w:t xml:space="preserve">овести проверку </w:t>
            </w:r>
            <w:proofErr w:type="spellStart"/>
            <w:r w:rsidR="00B26BF1">
              <w:rPr>
                <w:rFonts w:cs="Times New Roman"/>
              </w:rPr>
              <w:t>электроснабжающей</w:t>
            </w:r>
            <w:proofErr w:type="spellEnd"/>
            <w:r w:rsidR="00B26BF1">
              <w:rPr>
                <w:rFonts w:cs="Times New Roman"/>
              </w:rPr>
              <w:t xml:space="preserve"> организации</w:t>
            </w:r>
            <w:r>
              <w:rPr>
                <w:rFonts w:cs="Times New Roman"/>
              </w:rPr>
              <w:t>, так</w:t>
            </w:r>
            <w:r w:rsidR="00B26BF1">
              <w:rPr>
                <w:rFonts w:cs="Times New Roman"/>
              </w:rPr>
              <w:t xml:space="preserve"> как</w:t>
            </w:r>
            <w:r w:rsidRPr="008E5D32">
              <w:rPr>
                <w:rFonts w:cs="Times New Roman"/>
              </w:rPr>
              <w:t xml:space="preserve"> 14.09.2020 года обратился с заявлением о подключении 380 киловатт, на сегодня, документы не готовы, уведомления отправлены в другой регион, га мои многочисленные обращения, вразумительных ответов никто не дает. У меня двое маленьких детей, в доме очень холодно, так как котел не работает</w:t>
            </w:r>
            <w:r w:rsidR="000245E3" w:rsidRPr="000245E3">
              <w:rPr>
                <w:rFonts w:cs="Times New Roman"/>
              </w:rPr>
              <w:t>.</w:t>
            </w:r>
          </w:p>
        </w:tc>
        <w:tc>
          <w:tcPr>
            <w:tcW w:w="5386" w:type="dxa"/>
          </w:tcPr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В соответствии с ч. 2 ст. 10 Федерального закона от 26.12.2008 № 294-ФЗ </w:t>
            </w:r>
          </w:p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«О защите прав юридических лиц и индивидуальных предпринимателей </w:t>
            </w:r>
          </w:p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при осуществлении государственного контроля (надзора) и муниципального контроля» (далее – Федерального закона № 294-ФЗ), основанием для проведения внеплановой проверки является поступление в органы государственного контроля (надзора), информации о:</w:t>
            </w:r>
          </w:p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-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</w:t>
            </w:r>
          </w:p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-  причинении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характера.</w:t>
            </w:r>
          </w:p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В соответствии с ч. 3.2 ст. 10 Федерального закона № 294-ФЗ, Управлением проведена предварительная проверка поступившей информации, по результатам которой факты нарушений обязательных требований, указанных в обращении, не подтвердились. </w:t>
            </w:r>
          </w:p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В адрес Управления предоставлены документы: типовой договор об осуществлении технологического присоединения от 22.09.2020 № 310/2020/ТП, технические условия от 22.09.2020 № 207, счет на </w:t>
            </w:r>
            <w:r w:rsidRPr="008E5D32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оплату от 06.10.2020 № 634 с отправлением 19.10.2020 в адрес заявителя Демьяненко В.В. по месту регистрации, указанному в заявлении на технологическое присоединение от 14.09.2020.</w:t>
            </w:r>
          </w:p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На основании п. 108 Правил технологического присоединения </w:t>
            </w:r>
            <w:proofErr w:type="spellStart"/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энергопринимающих</w:t>
            </w:r>
            <w:proofErr w:type="spellEnd"/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(далее – Правила), результатом исполнения обязательств сетевой организации по выполнению мероприятий по технологическому присоединению </w:t>
            </w:r>
            <w:proofErr w:type="spellStart"/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энергопринимающих</w:t>
            </w:r>
            <w:proofErr w:type="spellEnd"/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 устройств заявителей, указанных в пунктах 12_1  и 14 Правил,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</w:t>
            </w:r>
            <w:proofErr w:type="spellStart"/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энергопринимающими</w:t>
            </w:r>
            <w:proofErr w:type="spellEnd"/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 устройствами заявителя электрической энергии (мощности) </w:t>
            </w:r>
          </w:p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в соответствии с законодательством Российской Федерации и на основании договоров, обеспечивающих продажу электрической энергии (мощности) </w:t>
            </w:r>
          </w:p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на розничном рынке.</w:t>
            </w:r>
          </w:p>
          <w:p w:rsidR="008E5D32" w:rsidRPr="008E5D32" w:rsidRDefault="008E5D32" w:rsidP="008E5D32">
            <w:pPr>
              <w:pStyle w:val="ConsPlusNormal"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Таким образом, фактически услуга по технологическому присоединению к электрическим сетям объекта заявителя Демьяненко В.В. была оказана 06.11.2020 согласно 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>акту ввода</w:t>
            </w:r>
            <w:proofErr w:type="gramEnd"/>
            <w:r w:rsidRPr="008E5D32">
              <w:rPr>
                <w:rFonts w:asciiTheme="minorHAnsi" w:hAnsiTheme="minorHAnsi" w:cs="Times New Roman"/>
                <w:sz w:val="22"/>
                <w:szCs w:val="22"/>
              </w:rPr>
              <w:t xml:space="preserve"> в эксплуатацию прибора учета от 06.11.2020.</w:t>
            </w:r>
          </w:p>
          <w:p w:rsidR="0033061C" w:rsidRPr="00227CB7" w:rsidRDefault="008E5D32" w:rsidP="008E5D32">
            <w:pPr>
              <w:pStyle w:val="ConsPlusNormal"/>
              <w:widowControl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E5D32">
              <w:rPr>
                <w:rFonts w:asciiTheme="minorHAnsi" w:hAnsiTheme="minorHAnsi" w:cs="Times New Roman"/>
                <w:sz w:val="22"/>
                <w:szCs w:val="22"/>
              </w:rPr>
              <w:t>На основании вышеизложенного, в связи отсутствием оснований, установленных ч. 2 ст. 10 Федерального закона № 294-ФЗЮ, проведение внеплановой проверки не представляется возможным.</w:t>
            </w:r>
          </w:p>
        </w:tc>
      </w:tr>
    </w:tbl>
    <w:p w:rsidR="00514927" w:rsidRDefault="006C13C8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C7B"/>
    <w:multiLevelType w:val="multilevel"/>
    <w:tmpl w:val="823CC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C0"/>
    <w:rsid w:val="000245E3"/>
    <w:rsid w:val="00070BC4"/>
    <w:rsid w:val="0007282D"/>
    <w:rsid w:val="00100AC0"/>
    <w:rsid w:val="001557CB"/>
    <w:rsid w:val="0015657B"/>
    <w:rsid w:val="00227CB7"/>
    <w:rsid w:val="002D3BF7"/>
    <w:rsid w:val="0033061C"/>
    <w:rsid w:val="00402C6E"/>
    <w:rsid w:val="004805A2"/>
    <w:rsid w:val="005E250B"/>
    <w:rsid w:val="00652244"/>
    <w:rsid w:val="00693BF4"/>
    <w:rsid w:val="006C13C8"/>
    <w:rsid w:val="0071628C"/>
    <w:rsid w:val="007C7A77"/>
    <w:rsid w:val="007D3FDD"/>
    <w:rsid w:val="007F0563"/>
    <w:rsid w:val="008E5D32"/>
    <w:rsid w:val="00946D9D"/>
    <w:rsid w:val="00996765"/>
    <w:rsid w:val="009F66DE"/>
    <w:rsid w:val="00A5105B"/>
    <w:rsid w:val="00AE149A"/>
    <w:rsid w:val="00B26BF1"/>
    <w:rsid w:val="00BA6C87"/>
    <w:rsid w:val="00C6228B"/>
    <w:rsid w:val="00D54E76"/>
    <w:rsid w:val="00D97B6F"/>
    <w:rsid w:val="00DC09E5"/>
    <w:rsid w:val="00D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14D3E-D542-48DE-B711-22A43300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A6C87"/>
    <w:rPr>
      <w:color w:val="0000FF"/>
      <w:u w:val="single"/>
    </w:rPr>
  </w:style>
  <w:style w:type="paragraph" w:customStyle="1" w:styleId="ConsPlusNormal">
    <w:name w:val="ConsPlusNormal"/>
    <w:rsid w:val="00BA6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11">
    <w:name w:val="Char Style 11"/>
    <w:basedOn w:val="a0"/>
    <w:link w:val="Style2"/>
    <w:rsid w:val="00BA6C87"/>
    <w:rPr>
      <w:sz w:val="27"/>
      <w:szCs w:val="27"/>
      <w:shd w:val="clear" w:color="auto" w:fill="FFFFFF"/>
    </w:rPr>
  </w:style>
  <w:style w:type="character" w:customStyle="1" w:styleId="CharStyle12">
    <w:name w:val="Char Style 12"/>
    <w:basedOn w:val="CharStyle11"/>
    <w:rsid w:val="00BA6C8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13">
    <w:name w:val="Char Style 13"/>
    <w:basedOn w:val="CharStyle11"/>
    <w:link w:val="Style12"/>
    <w:rsid w:val="00BA6C8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"/>
    </w:rPr>
  </w:style>
  <w:style w:type="paragraph" w:customStyle="1" w:styleId="Style2">
    <w:name w:val="Style 2"/>
    <w:basedOn w:val="a"/>
    <w:link w:val="CharStyle11"/>
    <w:rsid w:val="00BA6C87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character" w:customStyle="1" w:styleId="CharStyle9">
    <w:name w:val="Char Style 9"/>
    <w:basedOn w:val="a0"/>
    <w:link w:val="Style8"/>
    <w:rsid w:val="00BA6C87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BA6C87"/>
    <w:pPr>
      <w:widowControl w:val="0"/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CharStyle6">
    <w:name w:val="Char Style 6"/>
    <w:basedOn w:val="a0"/>
    <w:rsid w:val="00BA6C87"/>
    <w:rPr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17">
    <w:name w:val="Char Style 17"/>
    <w:basedOn w:val="CharStyle6"/>
    <w:rsid w:val="00BA6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"/>
    </w:rPr>
  </w:style>
  <w:style w:type="paragraph" w:customStyle="1" w:styleId="a5">
    <w:name w:val="ШаблоУважаемый"/>
    <w:basedOn w:val="a"/>
    <w:link w:val="a6"/>
    <w:autoRedefine/>
    <w:uiPriority w:val="99"/>
    <w:rsid w:val="00BA6C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ШаблоУважаемый Знак"/>
    <w:link w:val="a5"/>
    <w:uiPriority w:val="99"/>
    <w:locked/>
    <w:rsid w:val="00BA6C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Style14">
    <w:name w:val="Char Style 14"/>
    <w:basedOn w:val="a0"/>
    <w:link w:val="Style13"/>
    <w:rsid w:val="00BA6C87"/>
    <w:rPr>
      <w:sz w:val="25"/>
      <w:szCs w:val="25"/>
      <w:shd w:val="clear" w:color="auto" w:fill="FFFFFF"/>
    </w:rPr>
  </w:style>
  <w:style w:type="character" w:customStyle="1" w:styleId="CharStyle19">
    <w:name w:val="Char Style 19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0">
    <w:name w:val="Char Style 20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2">
    <w:name w:val="Char Style 22"/>
    <w:basedOn w:val="CharStyle14"/>
    <w:link w:val="Style21"/>
    <w:rsid w:val="00BA6C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3">
    <w:name w:val="Char Style 23"/>
    <w:basedOn w:val="CharStyle11"/>
    <w:rsid w:val="00BA6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4">
    <w:name w:val="Char Style 24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5">
    <w:name w:val="Char Style 25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6">
    <w:name w:val="Char Style 26"/>
    <w:basedOn w:val="CharStyle11"/>
    <w:rsid w:val="00BA6C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7">
    <w:name w:val="Char Style 27"/>
    <w:basedOn w:val="CharStyle11"/>
    <w:rsid w:val="00BA6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8">
    <w:name w:val="Char Style 28"/>
    <w:basedOn w:val="CharStyle11"/>
    <w:rsid w:val="00BA6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9">
    <w:name w:val="Char Style 29"/>
    <w:basedOn w:val="CharStyle14"/>
    <w:rsid w:val="00BA6C8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paragraph" w:customStyle="1" w:styleId="Style10">
    <w:name w:val="Style 10"/>
    <w:basedOn w:val="a"/>
    <w:rsid w:val="00BA6C8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val="ru" w:eastAsia="ru-RU"/>
    </w:rPr>
  </w:style>
  <w:style w:type="paragraph" w:customStyle="1" w:styleId="Style13">
    <w:name w:val="Style 13"/>
    <w:basedOn w:val="a"/>
    <w:link w:val="CharStyle14"/>
    <w:rsid w:val="00BA6C87"/>
    <w:pPr>
      <w:widowControl w:val="0"/>
      <w:shd w:val="clear" w:color="auto" w:fill="FFFFFF"/>
      <w:spacing w:after="0" w:line="317" w:lineRule="exact"/>
    </w:pPr>
    <w:rPr>
      <w:sz w:val="25"/>
      <w:szCs w:val="25"/>
    </w:rPr>
  </w:style>
  <w:style w:type="paragraph" w:styleId="a7">
    <w:name w:val="Body Text Indent"/>
    <w:basedOn w:val="a"/>
    <w:link w:val="a8"/>
    <w:semiHidden/>
    <w:unhideWhenUsed/>
    <w:rsid w:val="00BA6C87"/>
    <w:pPr>
      <w:spacing w:after="120" w:line="240" w:lineRule="auto"/>
      <w:ind w:left="283"/>
    </w:pPr>
    <w:rPr>
      <w:rFonts w:ascii="TimesET" w:eastAsia="Calibri" w:hAnsi="TimesET" w:cs="Times New Roman"/>
      <w:sz w:val="24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A6C87"/>
    <w:rPr>
      <w:rFonts w:ascii="TimesET" w:eastAsia="Calibri" w:hAnsi="TimesET" w:cs="Times New Roman"/>
      <w:sz w:val="24"/>
      <w:szCs w:val="28"/>
      <w:lang w:eastAsia="ru-RU"/>
    </w:rPr>
  </w:style>
  <w:style w:type="paragraph" w:customStyle="1" w:styleId="FORMATTEXT">
    <w:name w:val=".FORMATTEXT"/>
    <w:uiPriority w:val="99"/>
    <w:rsid w:val="00BA6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4">
    <w:name w:val="Шаблон14 Знак"/>
    <w:basedOn w:val="a0"/>
    <w:link w:val="140"/>
    <w:locked/>
    <w:rsid w:val="00BA6C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0">
    <w:name w:val="Шаблон14"/>
    <w:basedOn w:val="a"/>
    <w:link w:val="14"/>
    <w:qFormat/>
    <w:rsid w:val="00BA6C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Style15">
    <w:name w:val="Char Style 15"/>
    <w:basedOn w:val="CharStyle14"/>
    <w:link w:val="Style14"/>
    <w:rsid w:val="00BA6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"/>
    </w:rPr>
  </w:style>
  <w:style w:type="character" w:customStyle="1" w:styleId="CharStyle8">
    <w:name w:val="Char Style 8"/>
    <w:basedOn w:val="a0"/>
    <w:rsid w:val="00BA6C8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">
    <w:name w:val="Char Style 3"/>
    <w:basedOn w:val="a0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10Exact">
    <w:name w:val="Char Style 10 Exact"/>
    <w:basedOn w:val="CharStyle24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12Exact">
    <w:name w:val="Char Style 12 Exact"/>
    <w:basedOn w:val="a0"/>
    <w:link w:val="Style11"/>
    <w:rsid w:val="00BA6C87"/>
    <w:rPr>
      <w:spacing w:val="17"/>
      <w:w w:val="60"/>
      <w:sz w:val="8"/>
      <w:szCs w:val="8"/>
      <w:shd w:val="clear" w:color="auto" w:fill="FFFFFF"/>
    </w:rPr>
  </w:style>
  <w:style w:type="character" w:customStyle="1" w:styleId="CharStyle14Exact">
    <w:name w:val="Char Style 14 Exact"/>
    <w:basedOn w:val="a0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Exact">
    <w:name w:val="Char Style 15 Exact"/>
    <w:basedOn w:val="CharStyle14Exact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"/>
    </w:rPr>
  </w:style>
  <w:style w:type="character" w:customStyle="1" w:styleId="CharStyle17Exact">
    <w:name w:val="Char Style 17 Exact"/>
    <w:basedOn w:val="a0"/>
    <w:link w:val="Style16"/>
    <w:rsid w:val="00BA6C87"/>
    <w:rPr>
      <w:rFonts w:ascii="Arial" w:eastAsia="Arial" w:hAnsi="Arial" w:cs="Arial"/>
      <w:spacing w:val="14"/>
      <w:sz w:val="11"/>
      <w:szCs w:val="11"/>
      <w:shd w:val="clear" w:color="auto" w:fill="FFFFFF"/>
    </w:rPr>
  </w:style>
  <w:style w:type="character" w:customStyle="1" w:styleId="CharStyle18Exact">
    <w:name w:val="Char Style 18 Exact"/>
    <w:basedOn w:val="CharStyle17Exact"/>
    <w:rsid w:val="00BA6C87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"/>
    </w:rPr>
  </w:style>
  <w:style w:type="paragraph" w:customStyle="1" w:styleId="Style11">
    <w:name w:val="Style 11"/>
    <w:basedOn w:val="a"/>
    <w:link w:val="CharStyle12Exact"/>
    <w:rsid w:val="00BA6C87"/>
    <w:pPr>
      <w:widowControl w:val="0"/>
      <w:shd w:val="clear" w:color="auto" w:fill="FFFFFF"/>
      <w:spacing w:after="0" w:line="0" w:lineRule="atLeast"/>
    </w:pPr>
    <w:rPr>
      <w:spacing w:val="17"/>
      <w:w w:val="60"/>
      <w:sz w:val="8"/>
      <w:szCs w:val="8"/>
    </w:rPr>
  </w:style>
  <w:style w:type="paragraph" w:customStyle="1" w:styleId="Style16">
    <w:name w:val="Style 16"/>
    <w:basedOn w:val="a"/>
    <w:link w:val="CharStyle17Exact"/>
    <w:rsid w:val="00BA6C8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4"/>
      <w:sz w:val="11"/>
      <w:szCs w:val="11"/>
    </w:rPr>
  </w:style>
  <w:style w:type="character" w:customStyle="1" w:styleId="CharStyle5">
    <w:name w:val="Char Style 5"/>
    <w:basedOn w:val="a0"/>
    <w:link w:val="Style4"/>
    <w:rsid w:val="00BA6C8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9Exact">
    <w:name w:val="Char Style 19 Exact"/>
    <w:basedOn w:val="a0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Exact">
    <w:name w:val="Char Style 20 Exact"/>
    <w:basedOn w:val="CharStyle5"/>
    <w:rsid w:val="00BA6C87"/>
    <w:rPr>
      <w:rFonts w:ascii="Arial" w:eastAsia="Arial" w:hAnsi="Arial" w:cs="Arial"/>
      <w:color w:val="000000"/>
      <w:spacing w:val="1"/>
      <w:w w:val="100"/>
      <w:position w:val="0"/>
      <w:sz w:val="23"/>
      <w:szCs w:val="23"/>
      <w:shd w:val="clear" w:color="auto" w:fill="FFFFFF"/>
      <w:lang w:val="ru"/>
    </w:rPr>
  </w:style>
  <w:style w:type="paragraph" w:customStyle="1" w:styleId="Style4">
    <w:name w:val="Style 4"/>
    <w:basedOn w:val="a"/>
    <w:link w:val="CharStyle5"/>
    <w:rsid w:val="00BA6C87"/>
    <w:pPr>
      <w:widowControl w:val="0"/>
      <w:shd w:val="clear" w:color="auto" w:fill="FFFFFF"/>
      <w:spacing w:after="0" w:line="226" w:lineRule="exact"/>
      <w:jc w:val="center"/>
    </w:pPr>
    <w:rPr>
      <w:rFonts w:ascii="Arial" w:eastAsia="Arial" w:hAnsi="Arial" w:cs="Arial"/>
      <w:sz w:val="21"/>
      <w:szCs w:val="21"/>
    </w:rPr>
  </w:style>
  <w:style w:type="character" w:customStyle="1" w:styleId="CharStyle18">
    <w:name w:val="Char Style 18"/>
    <w:basedOn w:val="a0"/>
    <w:link w:val="Style17"/>
    <w:rsid w:val="00D97B6F"/>
    <w:rPr>
      <w:sz w:val="26"/>
      <w:szCs w:val="26"/>
      <w:shd w:val="clear" w:color="auto" w:fill="FFFFFF"/>
    </w:rPr>
  </w:style>
  <w:style w:type="paragraph" w:customStyle="1" w:styleId="Style14">
    <w:name w:val="Style 14"/>
    <w:basedOn w:val="a"/>
    <w:link w:val="CharStyle15"/>
    <w:rsid w:val="00D97B6F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val="ru"/>
    </w:rPr>
  </w:style>
  <w:style w:type="paragraph" w:customStyle="1" w:styleId="Style17">
    <w:name w:val="Style 17"/>
    <w:basedOn w:val="a"/>
    <w:link w:val="CharStyle18"/>
    <w:rsid w:val="00D97B6F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Style21">
    <w:name w:val="Style 21"/>
    <w:basedOn w:val="a"/>
    <w:link w:val="CharStyle22"/>
    <w:rsid w:val="00DC09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color w:val="000000"/>
      <w:sz w:val="25"/>
      <w:szCs w:val="25"/>
      <w:lang w:val="ru"/>
    </w:rPr>
  </w:style>
  <w:style w:type="character" w:customStyle="1" w:styleId="CharStyle3Exact">
    <w:name w:val="Char Style 3 Exact"/>
    <w:basedOn w:val="a0"/>
    <w:rsid w:val="00070BC4"/>
    <w:rPr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CharStyle5Exact">
    <w:name w:val="Char Style 5 Exact"/>
    <w:basedOn w:val="a0"/>
    <w:rsid w:val="00070BC4"/>
    <w:rPr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paragraph" w:customStyle="1" w:styleId="Style12">
    <w:name w:val="Style 12"/>
    <w:basedOn w:val="a"/>
    <w:link w:val="CharStyle13"/>
    <w:rsid w:val="007C7A7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character" w:customStyle="1" w:styleId="CharStyle16">
    <w:name w:val="Char Style 16"/>
    <w:basedOn w:val="a0"/>
    <w:rsid w:val="005E250B"/>
    <w:rPr>
      <w:b w:val="0"/>
      <w:bCs w:val="0"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CharStyle21">
    <w:name w:val="Char Style 21"/>
    <w:basedOn w:val="CharStyle16"/>
    <w:rsid w:val="005E2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"/>
    </w:rPr>
  </w:style>
  <w:style w:type="character" w:customStyle="1" w:styleId="Bodytext3">
    <w:name w:val="Body text (3)_"/>
    <w:basedOn w:val="a0"/>
    <w:link w:val="Bodytext30"/>
    <w:rsid w:val="000245E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245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245E3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0245E3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46D6-2F06-49E0-80FC-670EB9C8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3</cp:revision>
  <dcterms:created xsi:type="dcterms:W3CDTF">2021-01-12T12:14:00Z</dcterms:created>
  <dcterms:modified xsi:type="dcterms:W3CDTF">2021-01-13T03:30:00Z</dcterms:modified>
</cp:coreProperties>
</file>